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8127FA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Nek- schouderklachten</w:t>
      </w: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8127FA" w:rsidRPr="008127FA" w:rsidRDefault="008127FA" w:rsidP="008127FA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8127FA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Klachten aan armen, nek en schouders</w:t>
            </w: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4702A4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 xml:space="preserve"> </w:t>
            </w:r>
            <w:r w:rsidR="00CF1191">
              <w:rPr>
                <w:rFonts w:ascii="Verdana" w:hAnsi="Verdana"/>
                <w:b/>
                <w:color w:val="009999"/>
              </w:rPr>
              <w:t>Vicieuze cirkel</w:t>
            </w:r>
            <w:r w:rsidR="00FC501C" w:rsidRPr="00565E93">
              <w:rPr>
                <w:rFonts w:ascii="Verdana" w:hAnsi="Verdana"/>
                <w:b/>
                <w:color w:val="009999"/>
              </w:rPr>
              <w:t xml:space="preserve"> </w:t>
            </w: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C5C00" w:rsidRDefault="005C5C00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</w:t>
            </w: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CF1191" w:rsidRPr="00C07B48" w:rsidRDefault="00CF1191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Persoonlijke begeleiding</w:t>
            </w:r>
          </w:p>
        </w:tc>
        <w:tc>
          <w:tcPr>
            <w:tcW w:w="7229" w:type="dxa"/>
          </w:tcPr>
          <w:p w:rsidR="005C5C00" w:rsidRDefault="005C5C00" w:rsidP="00F37FB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C5C00" w:rsidRPr="00F37FB1" w:rsidRDefault="005C5C00" w:rsidP="00F37FB1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C5C00" w:rsidRDefault="008127FA" w:rsidP="008127FA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8127FA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Klachten aan armen, nek en/of schouders komen veel voor. Meestal vormen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8127FA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verkeerde houding, overbelasting of spanningen een belangrijke oorzaak.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8127FA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Maar ook kunnen de klachten het gevolg zijn van een afwijking aan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8127FA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wervelkolom of van een (chronische) aandoening.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</w:p>
          <w:p w:rsidR="00B63CD7" w:rsidRDefault="00B63CD7" w:rsidP="008127FA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B63CD7" w:rsidRDefault="00B63CD7" w:rsidP="00B63CD7">
            <w:pPr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Pijn, krachtverlies en stijfheid beïnvloeden uw dagelijks leven. Door 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stijve nek of een pijnlijke schouder gaat u anders bewegen. Zo raken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spieren uit balans. Ook kan pijn uw ademhaling, concentratievermogen,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slaappatroon en stemming negatief beïnvloeden. U loopt het gevaar in 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vicieuze cirkel te belanden, waardoor u niet meer optimaal kunt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functioneren. Een oefentherapeut Mensendieck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B63CD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kan u helpen een dergelijke situatie te doorbreken of te voorkomen</w:t>
            </w:r>
          </w:p>
          <w:p w:rsidR="00CF1191" w:rsidRDefault="00CF1191" w:rsidP="00CF1191">
            <w:pPr>
              <w:jc w:val="both"/>
            </w:pPr>
          </w:p>
          <w:p w:rsidR="00CF1191" w:rsidRDefault="00B63CD7" w:rsidP="00B63CD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3CD7">
              <w:rPr>
                <w:rFonts w:ascii="Verdana" w:hAnsi="Verdana"/>
                <w:sz w:val="20"/>
                <w:szCs w:val="20"/>
              </w:rPr>
              <w:t>Een oefentherapeut Mensendieck maakt u bewust van uw houding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en manier van bewegen in relatie tot uw klachten. Ook geeft een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oefentherapeut u inzicht in de reactie van uw lichaam op pijn,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(over)belasting en spanningen. Samen gaat u op zoek naar de oorzaak van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uw klachten. Geleidelijk aan leert u uw klachten begrijpen. Ook leert u hoe u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adequaat op uw klachten kunt reageren, zodat ze verminderen of verdwijnen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en niet meer terugkeren</w:t>
            </w:r>
          </w:p>
          <w:p w:rsidR="00B63CD7" w:rsidRDefault="00B63CD7" w:rsidP="00B63CD7">
            <w:pPr>
              <w:jc w:val="both"/>
            </w:pPr>
          </w:p>
          <w:p w:rsidR="00B63CD7" w:rsidRPr="00B63CD7" w:rsidRDefault="00B63CD7" w:rsidP="00B63CD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3CD7">
              <w:rPr>
                <w:rFonts w:ascii="Verdana" w:hAnsi="Verdana"/>
                <w:sz w:val="20"/>
                <w:szCs w:val="20"/>
              </w:rPr>
              <w:t>U werkt onder begeleiding van uw oefentherapeut aan het herstel van 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balans tussen spanning en ontspanning en brengt het lichaam weer in goede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conditie. U leert hoe u uw houding en manier van bewegen kunt verbeteren,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zodat de belasting van uw nek en schouders afneemt. Zo leert u hoe u zelf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met uw klachten kunt omgaan, en hoe u kunt voorkomen dat uw klachten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terugkeren.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De oefentherapeut stemt de behandeling af op uw persoonlijke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 xml:space="preserve">situatie. Dat betekent dat u oefeningen en </w:t>
            </w:r>
            <w:proofErr w:type="spellStart"/>
            <w:r w:rsidRPr="00B63CD7">
              <w:rPr>
                <w:rFonts w:ascii="Verdana" w:hAnsi="Verdana"/>
                <w:sz w:val="20"/>
                <w:szCs w:val="20"/>
              </w:rPr>
              <w:t>houdings</w:t>
            </w:r>
            <w:proofErr w:type="spellEnd"/>
            <w:r w:rsidRPr="00B63CD7">
              <w:rPr>
                <w:rFonts w:ascii="Verdana" w:hAnsi="Verdana"/>
                <w:sz w:val="20"/>
                <w:szCs w:val="20"/>
              </w:rPr>
              <w:t>- en bewegingsadviezen krijgt die geïntegreerd zijn in uw dagelijkse activiteiten, thuis en op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het werk. Zowel uw werkomgeving (hoogte stoel en bureau), uw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thuissituatie (stofzuigen, strijken) als uw hobby’s (sporten, tuinieren,</w:t>
            </w:r>
          </w:p>
          <w:p w:rsidR="005C5C00" w:rsidRDefault="00B63CD7" w:rsidP="00B63CD7">
            <w:pPr>
              <w:jc w:val="both"/>
            </w:pPr>
            <w:r w:rsidRPr="00B63CD7">
              <w:rPr>
                <w:rFonts w:ascii="Verdana" w:hAnsi="Verdana"/>
                <w:sz w:val="20"/>
                <w:szCs w:val="20"/>
              </w:rPr>
              <w:t xml:space="preserve">klussen) komen aan de orde. Door de adviezen van uw oefentherapeut toe te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passen, leert u om gezonder te bewegen. Zo kunt u weer optimaal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3CD7">
              <w:rPr>
                <w:rFonts w:ascii="Verdana" w:hAnsi="Verdana"/>
                <w:sz w:val="20"/>
                <w:szCs w:val="20"/>
              </w:rPr>
              <w:t>functioneren in al uw dagelijkse activiteiten.</w:t>
            </w:r>
          </w:p>
        </w:tc>
      </w:tr>
    </w:tbl>
    <w:p w:rsidR="00FC501C" w:rsidRDefault="00FC501C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E74699" w:rsidRDefault="00E74699">
      <w:r>
        <w:br w:type="page"/>
      </w:r>
    </w:p>
    <w:tbl>
      <w:tblPr>
        <w:tblStyle w:val="Tabelraster"/>
        <w:tblpPr w:leftFromText="141" w:rightFromText="141" w:vertAnchor="page" w:horzAnchor="margin" w:tblpXSpec="center" w:tblpY="27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DD1215" w:rsidTr="00DD1215">
        <w:trPr>
          <w:trHeight w:val="285"/>
        </w:trPr>
        <w:tc>
          <w:tcPr>
            <w:tcW w:w="3403" w:type="dxa"/>
          </w:tcPr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CF1191" w:rsidRDefault="00CF1191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Pr="00565E93" w:rsidRDefault="00DD1215" w:rsidP="00DD1215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CB2D8F" w:rsidRDefault="00CB2D8F" w:rsidP="00DD121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E909F5" w:rsidRPr="0085342E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E909F5" w:rsidRDefault="00E909F5" w:rsidP="00E909F5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E909F5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DD1215" w:rsidRDefault="00DD1215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3C1BF9" w:rsidRDefault="003C1BF9" w:rsidP="003C1BF9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3C1BF9" w:rsidRDefault="003C1BF9" w:rsidP="003C1BF9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3C1BF9" w:rsidRDefault="003C1BF9" w:rsidP="003C1BF9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3C1BF9" w:rsidRDefault="003C1BF9" w:rsidP="003C1BF9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3C1BF9" w:rsidRDefault="003C1BF9" w:rsidP="003C1BF9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3C1BF9" w:rsidRPr="003C1BF9" w:rsidRDefault="003C1BF9" w:rsidP="003C1BF9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3C1BF9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3C1BF9" w:rsidRDefault="003C1BF9" w:rsidP="003C1BF9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DD1215" w:rsidRDefault="00DD1215" w:rsidP="00DD1215">
            <w:pPr>
              <w:jc w:val="center"/>
            </w:pPr>
          </w:p>
        </w:tc>
      </w:tr>
    </w:tbl>
    <w:p w:rsidR="00FC501C" w:rsidRDefault="00E74699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-661670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215" w:rsidRPr="00DD1215"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-444500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CB2D8F">
        <w:trPr>
          <w:trHeight w:val="80"/>
        </w:trPr>
        <w:tc>
          <w:tcPr>
            <w:tcW w:w="3403" w:type="dxa"/>
          </w:tcPr>
          <w:p w:rsidR="00FC501C" w:rsidRPr="00565E93" w:rsidRDefault="00FC501C" w:rsidP="00396BD2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5A5787" w:rsidRDefault="005A5787" w:rsidP="00396BD2">
            <w:pPr>
              <w:jc w:val="both"/>
            </w:pPr>
          </w:p>
        </w:tc>
      </w:tr>
    </w:tbl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E74699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B72"/>
    <w:multiLevelType w:val="hybridMultilevel"/>
    <w:tmpl w:val="39C8F78C"/>
    <w:lvl w:ilvl="0" w:tplc="5AF60B6A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202A"/>
    <w:multiLevelType w:val="hybridMultilevel"/>
    <w:tmpl w:val="EDEC0572"/>
    <w:lvl w:ilvl="0" w:tplc="9D962A30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47E53"/>
    <w:multiLevelType w:val="hybridMultilevel"/>
    <w:tmpl w:val="9DFA0D10"/>
    <w:lvl w:ilvl="0" w:tplc="40DA7EE6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65FC8"/>
    <w:multiLevelType w:val="hybridMultilevel"/>
    <w:tmpl w:val="D4BCD980"/>
    <w:lvl w:ilvl="0" w:tplc="CD34BA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44344"/>
    <w:multiLevelType w:val="hybridMultilevel"/>
    <w:tmpl w:val="137A83BE"/>
    <w:lvl w:ilvl="0" w:tplc="8FB6CE12">
      <w:numFmt w:val="bullet"/>
      <w:lvlText w:val="-"/>
      <w:lvlJc w:val="left"/>
      <w:pPr>
        <w:ind w:left="720" w:hanging="360"/>
      </w:pPr>
      <w:rPr>
        <w:rFonts w:ascii="FranklinGothic-Book" w:eastAsiaTheme="minorHAnsi" w:hAnsi="FranklinGothic-Book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E50D7"/>
    <w:multiLevelType w:val="hybridMultilevel"/>
    <w:tmpl w:val="DF96F8EA"/>
    <w:lvl w:ilvl="0" w:tplc="4E92A184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B3009"/>
    <w:multiLevelType w:val="hybridMultilevel"/>
    <w:tmpl w:val="EE6EA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F6A73"/>
    <w:multiLevelType w:val="hybridMultilevel"/>
    <w:tmpl w:val="36F24D84"/>
    <w:lvl w:ilvl="0" w:tplc="8C8C68B4">
      <w:numFmt w:val="bullet"/>
      <w:lvlText w:val="•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0D3605"/>
    <w:rsid w:val="003C1BF9"/>
    <w:rsid w:val="004702A4"/>
    <w:rsid w:val="004E39B9"/>
    <w:rsid w:val="005A5787"/>
    <w:rsid w:val="005C5C00"/>
    <w:rsid w:val="005F191E"/>
    <w:rsid w:val="00721F6A"/>
    <w:rsid w:val="00770C7E"/>
    <w:rsid w:val="00796325"/>
    <w:rsid w:val="008127FA"/>
    <w:rsid w:val="00971E80"/>
    <w:rsid w:val="00A256B3"/>
    <w:rsid w:val="00B24F3A"/>
    <w:rsid w:val="00B63CD7"/>
    <w:rsid w:val="00B95755"/>
    <w:rsid w:val="00CB2D8F"/>
    <w:rsid w:val="00CF1191"/>
    <w:rsid w:val="00D54B2D"/>
    <w:rsid w:val="00DD1215"/>
    <w:rsid w:val="00E74699"/>
    <w:rsid w:val="00E909F5"/>
    <w:rsid w:val="00F37FB1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5</cp:revision>
  <cp:lastPrinted>2011-08-16T15:06:00Z</cp:lastPrinted>
  <dcterms:created xsi:type="dcterms:W3CDTF">2011-08-29T18:55:00Z</dcterms:created>
  <dcterms:modified xsi:type="dcterms:W3CDTF">2013-07-02T06:31:00Z</dcterms:modified>
</cp:coreProperties>
</file>